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8DE" w:rsidRDefault="00C238DE" w:rsidP="00C238DE">
      <w:pPr>
        <w:pStyle w:val="1"/>
      </w:pPr>
      <w:r>
        <w:t>(109-95-5)亚硝酸乙酯的理化及危险特性表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24"/>
        <w:gridCol w:w="2591"/>
        <w:gridCol w:w="2170"/>
      </w:tblGrid>
      <w:tr w:rsidR="00C238DE"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238DE" w:rsidRDefault="00C238DE" w:rsidP="0090435F">
            <w:pPr>
              <w:spacing w:line="278" w:lineRule="exact"/>
              <w:rPr>
                <w:rFonts w:ascii="宋体" w:hAnsi="宋体"/>
              </w:rPr>
            </w:pPr>
            <w:r>
              <w:rPr>
                <w:rFonts w:ascii="宋体" w:hAnsi="宋体" w:hint="eastAsia"/>
              </w:rPr>
              <w:t>标</w:t>
            </w:r>
          </w:p>
          <w:p w:rsidR="00C238DE" w:rsidRDefault="00C238DE" w:rsidP="0090435F">
            <w:pPr>
              <w:spacing w:line="278" w:lineRule="exact"/>
              <w:rPr>
                <w:rFonts w:ascii="宋体" w:hAnsi="宋体"/>
              </w:rPr>
            </w:pPr>
            <w:r>
              <w:rPr>
                <w:rFonts w:ascii="宋体" w:hAnsi="宋体" w:hint="eastAsia"/>
              </w:rPr>
              <w:t>识</w:t>
            </w:r>
          </w:p>
        </w:tc>
        <w:tc>
          <w:tcPr>
            <w:tcW w:w="3924" w:type="dxa"/>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r>
              <w:rPr>
                <w:rFonts w:ascii="宋体" w:hAnsi="宋体" w:hint="eastAsia"/>
              </w:rPr>
              <w:t>中文名：</w:t>
            </w:r>
            <w:r>
              <w:rPr>
                <w:rFonts w:ascii="宋体" w:hAnsi="宋体" w:hint="eastAsia"/>
                <w:szCs w:val="18"/>
              </w:rPr>
              <w:t>亚硝酸乙酯</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ethy nitrite</w:t>
            </w:r>
            <w:r>
              <w:rPr>
                <w:rFonts w:ascii="宋体" w:hAnsi="宋体" w:hint="eastAsia"/>
                <w:szCs w:val="18"/>
                <w:lang w:val="en-GB"/>
              </w:rPr>
              <w:t>；</w:t>
            </w:r>
            <w:r>
              <w:rPr>
                <w:rFonts w:ascii="宋体" w:hAnsi="宋体" w:hint="eastAsia"/>
                <w:szCs w:val="18"/>
              </w:rPr>
              <w:t>nitrosyl ethoxide </w:t>
            </w:r>
          </w:p>
        </w:tc>
      </w:tr>
      <w:tr w:rsidR="00C238DE" w:rsidTr="0090435F">
        <w:trPr>
          <w:cantSplit/>
          <w:jc w:val="center"/>
        </w:trPr>
        <w:tc>
          <w:tcPr>
            <w:tcW w:w="489" w:type="dxa"/>
            <w:vMerge/>
            <w:tcBorders>
              <w:left w:val="single" w:sz="4" w:space="0" w:color="auto"/>
              <w:right w:val="single" w:sz="4" w:space="0" w:color="auto"/>
            </w:tcBorders>
            <w:vAlign w:val="center"/>
          </w:tcPr>
          <w:p w:rsidR="00C238DE" w:rsidRDefault="00C238DE" w:rsidP="0090435F">
            <w:pPr>
              <w:spacing w:line="27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2</w:t>
            </w:r>
            <w:r>
              <w:rPr>
                <w:rFonts w:ascii="宋体" w:hAnsi="宋体" w:hint="eastAsia"/>
                <w:szCs w:val="18"/>
              </w:rPr>
              <w:t>H</w:t>
            </w:r>
            <w:r>
              <w:rPr>
                <w:rFonts w:ascii="宋体" w:hAnsi="宋体" w:hint="eastAsia"/>
                <w:szCs w:val="18"/>
                <w:vertAlign w:val="subscript"/>
              </w:rPr>
              <w:t>5</w:t>
            </w:r>
            <w:r>
              <w:rPr>
                <w:rFonts w:ascii="宋体" w:hAnsi="宋体" w:hint="eastAsia"/>
                <w:szCs w:val="18"/>
              </w:rPr>
              <w:t>NO</w:t>
            </w:r>
            <w:r>
              <w:rPr>
                <w:rFonts w:ascii="宋体" w:hAnsi="宋体" w:hint="eastAsia"/>
                <w:szCs w:val="18"/>
                <w:vertAlign w:val="subscript"/>
              </w:rPr>
              <w:t>2</w:t>
            </w:r>
          </w:p>
        </w:tc>
        <w:tc>
          <w:tcPr>
            <w:tcW w:w="2591" w:type="dxa"/>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FF6600"/>
              </w:rPr>
            </w:pPr>
            <w:r>
              <w:rPr>
                <w:rFonts w:ascii="宋体" w:hAnsi="宋体" w:hint="eastAsia"/>
              </w:rPr>
              <w:t>分子量</w:t>
            </w:r>
            <w:r>
              <w:rPr>
                <w:rFonts w:ascii="宋体" w:hAnsi="宋体" w:hint="eastAsia"/>
                <w:lang w:val="en-GB"/>
              </w:rPr>
              <w:t>：</w:t>
            </w:r>
            <w:r>
              <w:rPr>
                <w:rFonts w:ascii="宋体" w:hAnsi="宋体" w:hint="eastAsia"/>
              </w:rPr>
              <w:t xml:space="preserve"> 75.08</w:t>
            </w:r>
          </w:p>
        </w:tc>
        <w:tc>
          <w:tcPr>
            <w:tcW w:w="2170" w:type="dxa"/>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r>
              <w:rPr>
                <w:rFonts w:ascii="宋体" w:hAnsi="宋体" w:hint="eastAsia"/>
              </w:rPr>
              <w:t>UN编号：1194</w:t>
            </w:r>
          </w:p>
        </w:tc>
      </w:tr>
      <w:tr w:rsidR="00C238DE" w:rsidTr="0090435F">
        <w:trPr>
          <w:cantSplit/>
          <w:jc w:val="center"/>
        </w:trPr>
        <w:tc>
          <w:tcPr>
            <w:tcW w:w="489" w:type="dxa"/>
            <w:vMerge/>
            <w:tcBorders>
              <w:left w:val="single" w:sz="4" w:space="0" w:color="auto"/>
              <w:right w:val="single" w:sz="4" w:space="0" w:color="auto"/>
            </w:tcBorders>
            <w:vAlign w:val="center"/>
          </w:tcPr>
          <w:p w:rsidR="00C238DE" w:rsidRDefault="00C238DE" w:rsidP="0090435F">
            <w:pPr>
              <w:spacing w:line="27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r>
              <w:rPr>
                <w:rFonts w:ascii="宋体" w:hAnsi="宋体" w:hint="eastAsia"/>
              </w:rPr>
              <w:t>危险类别：第3.1类低闪点易燃液体</w:t>
            </w:r>
          </w:p>
        </w:tc>
        <w:tc>
          <w:tcPr>
            <w:tcW w:w="2591" w:type="dxa"/>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r>
              <w:rPr>
                <w:rFonts w:ascii="宋体" w:hAnsi="宋体" w:hint="eastAsia"/>
              </w:rPr>
              <w:t>危规号： 31039</w:t>
            </w:r>
          </w:p>
        </w:tc>
        <w:tc>
          <w:tcPr>
            <w:tcW w:w="2170" w:type="dxa"/>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r>
              <w:rPr>
                <w:rFonts w:ascii="宋体" w:hAnsi="宋体" w:hint="eastAsia"/>
              </w:rPr>
              <w:t>CAS号：</w:t>
            </w:r>
            <w:r>
              <w:rPr>
                <w:rFonts w:ascii="宋体" w:hAnsi="宋体" w:hint="eastAsia"/>
                <w:szCs w:val="18"/>
              </w:rPr>
              <w:t>109-95-5</w:t>
            </w:r>
          </w:p>
        </w:tc>
      </w:tr>
      <w:tr w:rsidR="00C238DE" w:rsidTr="0090435F">
        <w:trPr>
          <w:cantSplit/>
          <w:jc w:val="center"/>
        </w:trPr>
        <w:tc>
          <w:tcPr>
            <w:tcW w:w="489" w:type="dxa"/>
            <w:vMerge/>
            <w:tcBorders>
              <w:left w:val="single" w:sz="4" w:space="0" w:color="auto"/>
              <w:bottom w:val="nil"/>
              <w:right w:val="single" w:sz="4" w:space="0" w:color="auto"/>
            </w:tcBorders>
            <w:vAlign w:val="center"/>
          </w:tcPr>
          <w:p w:rsidR="00C238DE" w:rsidRDefault="00C238DE" w:rsidP="0090435F">
            <w:pPr>
              <w:spacing w:line="27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rPr>
            </w:pPr>
            <w:r>
              <w:rPr>
                <w:rFonts w:ascii="宋体" w:hAnsi="宋体" w:hint="eastAsia"/>
                <w:color w:val="000000"/>
              </w:rPr>
              <w:t xml:space="preserve">包装标志： </w:t>
            </w:r>
            <w:r>
              <w:rPr>
                <w:rFonts w:ascii="宋体" w:hAnsi="宋体" w:hint="eastAsia"/>
              </w:rPr>
              <w:t>易燃液体、有毒品</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rPr>
            </w:pPr>
            <w:r>
              <w:rPr>
                <w:rFonts w:ascii="宋体" w:hAnsi="宋体" w:hint="eastAsia"/>
                <w:color w:val="000000"/>
              </w:rPr>
              <w:t xml:space="preserve">包装类别：Ⅰ类 </w:t>
            </w:r>
          </w:p>
        </w:tc>
      </w:tr>
      <w:tr w:rsidR="00C238DE"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r>
              <w:rPr>
                <w:rFonts w:ascii="宋体" w:hAnsi="宋体" w:hint="eastAsia"/>
              </w:rPr>
              <w:t>理</w:t>
            </w:r>
          </w:p>
          <w:p w:rsidR="00C238DE" w:rsidRDefault="00C238DE" w:rsidP="0090435F">
            <w:pPr>
              <w:spacing w:line="278" w:lineRule="exact"/>
              <w:rPr>
                <w:rFonts w:ascii="宋体" w:hAnsi="宋体"/>
              </w:rPr>
            </w:pPr>
            <w:r>
              <w:rPr>
                <w:rFonts w:ascii="宋体" w:hAnsi="宋体" w:hint="eastAsia"/>
              </w:rPr>
              <w:t>化</w:t>
            </w:r>
          </w:p>
          <w:p w:rsidR="00C238DE" w:rsidRDefault="00C238DE" w:rsidP="0090435F">
            <w:pPr>
              <w:spacing w:line="278" w:lineRule="exact"/>
              <w:rPr>
                <w:rFonts w:ascii="宋体" w:hAnsi="宋体"/>
              </w:rPr>
            </w:pPr>
            <w:r>
              <w:rPr>
                <w:rFonts w:ascii="宋体" w:hAnsi="宋体" w:hint="eastAsia"/>
              </w:rPr>
              <w:t>性</w:t>
            </w:r>
          </w:p>
          <w:p w:rsidR="00C238DE" w:rsidRDefault="00C238DE" w:rsidP="0090435F">
            <w:pPr>
              <w:spacing w:line="278"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rPr>
            </w:pPr>
            <w:r>
              <w:rPr>
                <w:rFonts w:ascii="宋体" w:hAnsi="宋体" w:hint="eastAsia"/>
                <w:color w:val="000000"/>
              </w:rPr>
              <w:t>外观与性状：</w:t>
            </w:r>
            <w:r>
              <w:rPr>
                <w:rFonts w:ascii="宋体" w:hAnsi="宋体" w:hint="eastAsia"/>
                <w:szCs w:val="18"/>
              </w:rPr>
              <w:t>无色至淡黄色澄清液体, 有特殊气味, 味甜, 极易挥发。</w:t>
            </w:r>
          </w:p>
        </w:tc>
      </w:tr>
      <w:tr w:rsidR="00C238D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rPr>
            </w:pPr>
            <w:r>
              <w:rPr>
                <w:rFonts w:ascii="宋体" w:hAnsi="宋体" w:hint="eastAsia"/>
                <w:color w:val="000000"/>
              </w:rPr>
              <w:t>溶解性 ：</w:t>
            </w:r>
            <w:r>
              <w:rPr>
                <w:rFonts w:ascii="宋体" w:hAnsi="宋体" w:hint="eastAsia"/>
                <w:szCs w:val="18"/>
              </w:rPr>
              <w:t>不溶于水，可混溶于乙醇、乙醚。</w:t>
            </w:r>
          </w:p>
        </w:tc>
      </w:tr>
      <w:tr w:rsidR="00C238D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rPr>
            </w:pPr>
            <w:r>
              <w:rPr>
                <w:rFonts w:ascii="宋体" w:hAnsi="宋体" w:hint="eastAsia"/>
                <w:color w:val="000000"/>
              </w:rPr>
              <w:t>熔点（℃）：</w:t>
            </w:r>
            <w:r>
              <w:rPr>
                <w:rFonts w:ascii="宋体" w:hAnsi="宋体" w:hint="eastAsia"/>
                <w:color w:val="000000"/>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rPr>
            </w:pPr>
            <w:r>
              <w:rPr>
                <w:rFonts w:ascii="宋体" w:hAnsi="宋体" w:hint="eastAsia"/>
                <w:color w:val="000000"/>
              </w:rPr>
              <w:t>沸点（℃）：</w:t>
            </w:r>
            <w:r>
              <w:rPr>
                <w:rFonts w:ascii="宋体" w:hAnsi="宋体" w:hint="eastAsia"/>
                <w:color w:val="000000"/>
                <w:szCs w:val="18"/>
              </w:rPr>
              <w:t>17.2</w:t>
            </w:r>
          </w:p>
        </w:tc>
      </w:tr>
      <w:tr w:rsidR="00C238D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rPr>
            </w:pPr>
            <w:r>
              <w:rPr>
                <w:rFonts w:ascii="宋体" w:hAnsi="宋体" w:hint="eastAsia"/>
                <w:color w:val="000000"/>
              </w:rPr>
              <w:t>相对密度（水＝1）：0.90（15.5℃）</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rPr>
            </w:pPr>
            <w:r>
              <w:rPr>
                <w:rFonts w:ascii="宋体" w:hAnsi="宋体" w:hint="eastAsia"/>
                <w:color w:val="000000"/>
              </w:rPr>
              <w:t>相对密度（空气＝1）：2.59</w:t>
            </w:r>
          </w:p>
        </w:tc>
      </w:tr>
      <w:tr w:rsidR="00C238D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 xml:space="preserve">: </w:t>
            </w:r>
            <w:r>
              <w:rPr>
                <w:rFonts w:ascii="宋体" w:hAnsi="宋体" w:hint="eastAsia"/>
                <w:color w:val="000000"/>
                <w:szCs w:val="18"/>
              </w:rPr>
              <w:t>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rPr>
            </w:pPr>
            <w:r>
              <w:rPr>
                <w:rFonts w:ascii="宋体" w:hAnsi="宋体" w:hint="eastAsia"/>
                <w:color w:val="000000"/>
              </w:rPr>
              <w:t>燃烧热（kJ/mol）：</w:t>
            </w:r>
            <w:r>
              <w:rPr>
                <w:rFonts w:ascii="宋体" w:hAnsi="宋体" w:hint="eastAsia"/>
                <w:color w:val="000000"/>
                <w:szCs w:val="18"/>
              </w:rPr>
              <w:t>无资料</w:t>
            </w:r>
          </w:p>
        </w:tc>
      </w:tr>
      <w:tr w:rsidR="00C238DE"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rPr>
            </w:pPr>
            <w:r>
              <w:rPr>
                <w:rFonts w:ascii="宋体" w:hAnsi="宋体" w:hint="eastAsia"/>
                <w:color w:val="000000"/>
              </w:rPr>
              <w:t>临界温度（℃）：</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rPr>
            </w:pPr>
            <w:r>
              <w:rPr>
                <w:rFonts w:ascii="宋体" w:hAnsi="宋体" w:hint="eastAsia"/>
                <w:color w:val="000000"/>
              </w:rPr>
              <w:t>临界压力（MPa）：</w:t>
            </w:r>
          </w:p>
        </w:tc>
      </w:tr>
      <w:tr w:rsidR="00C238DE"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238DE" w:rsidRDefault="00C238DE" w:rsidP="0090435F">
            <w:pPr>
              <w:spacing w:line="278" w:lineRule="exact"/>
              <w:rPr>
                <w:rFonts w:ascii="宋体" w:hAnsi="宋体"/>
              </w:rPr>
            </w:pPr>
            <w:r>
              <w:rPr>
                <w:rFonts w:ascii="宋体" w:hAnsi="宋体" w:hint="eastAsia"/>
              </w:rPr>
              <w:t>燃</w:t>
            </w:r>
          </w:p>
          <w:p w:rsidR="00C238DE" w:rsidRDefault="00C238DE" w:rsidP="0090435F">
            <w:pPr>
              <w:spacing w:line="278" w:lineRule="exact"/>
              <w:rPr>
                <w:rFonts w:ascii="宋体" w:hAnsi="宋体"/>
              </w:rPr>
            </w:pPr>
            <w:r>
              <w:rPr>
                <w:rFonts w:ascii="宋体" w:hAnsi="宋体" w:hint="eastAsia"/>
              </w:rPr>
              <w:t>烧</w:t>
            </w:r>
          </w:p>
          <w:p w:rsidR="00C238DE" w:rsidRDefault="00C238DE" w:rsidP="0090435F">
            <w:pPr>
              <w:spacing w:line="278" w:lineRule="exact"/>
              <w:rPr>
                <w:rFonts w:ascii="宋体" w:hAnsi="宋体"/>
              </w:rPr>
            </w:pPr>
            <w:r>
              <w:rPr>
                <w:rFonts w:ascii="宋体" w:hAnsi="宋体" w:hint="eastAsia"/>
              </w:rPr>
              <w:t>爆</w:t>
            </w:r>
          </w:p>
          <w:p w:rsidR="00C238DE" w:rsidRDefault="00C238DE" w:rsidP="0090435F">
            <w:pPr>
              <w:spacing w:line="278" w:lineRule="exact"/>
              <w:rPr>
                <w:rFonts w:ascii="宋体" w:hAnsi="宋体"/>
              </w:rPr>
            </w:pPr>
            <w:r>
              <w:rPr>
                <w:rFonts w:ascii="宋体" w:hAnsi="宋体" w:hint="eastAsia"/>
              </w:rPr>
              <w:t>炸</w:t>
            </w:r>
          </w:p>
          <w:p w:rsidR="00C238DE" w:rsidRDefault="00C238DE" w:rsidP="0090435F">
            <w:pPr>
              <w:spacing w:line="278" w:lineRule="exact"/>
              <w:rPr>
                <w:rFonts w:ascii="宋体" w:hAnsi="宋体"/>
              </w:rPr>
            </w:pPr>
            <w:r>
              <w:rPr>
                <w:rFonts w:ascii="宋体" w:hAnsi="宋体" w:hint="eastAsia"/>
              </w:rPr>
              <w:t>危</w:t>
            </w:r>
          </w:p>
          <w:p w:rsidR="00C238DE" w:rsidRDefault="00C238DE" w:rsidP="0090435F">
            <w:pPr>
              <w:spacing w:line="278" w:lineRule="exact"/>
              <w:rPr>
                <w:rFonts w:ascii="宋体" w:hAnsi="宋体"/>
              </w:rPr>
            </w:pPr>
            <w:r>
              <w:rPr>
                <w:rFonts w:ascii="宋体" w:hAnsi="宋体" w:hint="eastAsia"/>
              </w:rPr>
              <w:t>险</w:t>
            </w:r>
          </w:p>
          <w:p w:rsidR="00C238DE" w:rsidRDefault="00C238DE" w:rsidP="0090435F">
            <w:pPr>
              <w:spacing w:line="278" w:lineRule="exact"/>
              <w:rPr>
                <w:rFonts w:ascii="宋体" w:hAnsi="宋体"/>
              </w:rPr>
            </w:pPr>
            <w:r>
              <w:rPr>
                <w:rFonts w:ascii="宋体" w:hAnsi="宋体" w:hint="eastAsia"/>
              </w:rPr>
              <w:t>性</w:t>
            </w:r>
          </w:p>
        </w:tc>
        <w:tc>
          <w:tcPr>
            <w:tcW w:w="3924" w:type="dxa"/>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rPr>
            </w:pPr>
            <w:r>
              <w:rPr>
                <w:rFonts w:ascii="宋体" w:hAnsi="宋体" w:hint="eastAsia"/>
                <w:color w:val="000000"/>
              </w:rPr>
              <w:t>燃烧性： 易燃</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rPr>
            </w:pPr>
            <w:r>
              <w:rPr>
                <w:rFonts w:ascii="宋体" w:hAnsi="宋体" w:hint="eastAsia"/>
                <w:color w:val="000000"/>
              </w:rPr>
              <w:t>闪点（℃）：-35</w:t>
            </w:r>
          </w:p>
        </w:tc>
      </w:tr>
      <w:tr w:rsidR="00C238DE" w:rsidTr="0090435F">
        <w:trPr>
          <w:cantSplit/>
          <w:jc w:val="center"/>
        </w:trPr>
        <w:tc>
          <w:tcPr>
            <w:tcW w:w="489" w:type="dxa"/>
            <w:vMerge/>
            <w:tcBorders>
              <w:top w:val="single" w:sz="4" w:space="0" w:color="auto"/>
              <w:left w:val="single" w:sz="4" w:space="0" w:color="auto"/>
              <w:right w:val="single" w:sz="4" w:space="0" w:color="auto"/>
            </w:tcBorders>
            <w:vAlign w:val="center"/>
          </w:tcPr>
          <w:p w:rsidR="00C238DE" w:rsidRDefault="00C238DE" w:rsidP="0090435F">
            <w:pPr>
              <w:spacing w:line="27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vertAlign w:val="superscript"/>
              </w:rPr>
            </w:pPr>
            <w:r>
              <w:rPr>
                <w:rFonts w:ascii="宋体" w:hAnsi="宋体" w:hint="eastAsia"/>
                <w:color w:val="000000"/>
              </w:rPr>
              <w:t>爆炸下限（%）：3.0</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rPr>
            </w:pPr>
            <w:r>
              <w:rPr>
                <w:rFonts w:ascii="宋体" w:hAnsi="宋体" w:hint="eastAsia"/>
                <w:color w:val="000000"/>
              </w:rPr>
              <w:t>爆炸上限（%）：＞50</w:t>
            </w:r>
          </w:p>
        </w:tc>
      </w:tr>
      <w:tr w:rsidR="00C238DE" w:rsidTr="0090435F">
        <w:trPr>
          <w:cantSplit/>
          <w:jc w:val="center"/>
        </w:trPr>
        <w:tc>
          <w:tcPr>
            <w:tcW w:w="489" w:type="dxa"/>
            <w:vMerge/>
            <w:tcBorders>
              <w:top w:val="single" w:sz="4" w:space="0" w:color="auto"/>
              <w:left w:val="single" w:sz="4" w:space="0" w:color="auto"/>
              <w:right w:val="single" w:sz="4" w:space="0" w:color="auto"/>
            </w:tcBorders>
            <w:vAlign w:val="center"/>
          </w:tcPr>
          <w:p w:rsidR="00C238DE" w:rsidRDefault="00C238DE" w:rsidP="0090435F">
            <w:pPr>
              <w:spacing w:line="27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rPr>
            </w:pPr>
            <w:r>
              <w:rPr>
                <w:rFonts w:ascii="宋体" w:hAnsi="宋体" w:hint="eastAsia"/>
                <w:color w:val="000000"/>
              </w:rPr>
              <w:t>引燃温度（℃）：无资料</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rPr>
            </w:pPr>
            <w:r>
              <w:rPr>
                <w:rFonts w:ascii="宋体" w:hAnsi="宋体" w:hint="eastAsia"/>
                <w:color w:val="000000"/>
              </w:rPr>
              <w:t>最小点火能（mJ）：无资料</w:t>
            </w:r>
          </w:p>
        </w:tc>
      </w:tr>
      <w:tr w:rsidR="00C238DE" w:rsidTr="0090435F">
        <w:trPr>
          <w:cantSplit/>
          <w:jc w:val="center"/>
        </w:trPr>
        <w:tc>
          <w:tcPr>
            <w:tcW w:w="489" w:type="dxa"/>
            <w:vMerge/>
            <w:tcBorders>
              <w:left w:val="single" w:sz="4" w:space="0" w:color="auto"/>
              <w:right w:val="single" w:sz="4" w:space="0" w:color="auto"/>
            </w:tcBorders>
            <w:vAlign w:val="center"/>
          </w:tcPr>
          <w:p w:rsidR="00C238DE" w:rsidRDefault="00C238DE" w:rsidP="0090435F">
            <w:pPr>
              <w:spacing w:line="27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rPr>
            </w:pPr>
            <w:r>
              <w:rPr>
                <w:rFonts w:ascii="宋体" w:hAnsi="宋体" w:hint="eastAsia"/>
                <w:color w:val="000000"/>
              </w:rPr>
              <w:t>最大爆炸压力（MPa）：1.050</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rPr>
            </w:pPr>
            <w:r>
              <w:rPr>
                <w:rFonts w:ascii="宋体" w:hAnsi="宋体" w:hint="eastAsia"/>
                <w:color w:val="000000"/>
              </w:rPr>
              <w:t xml:space="preserve">稳定性：稳定 </w:t>
            </w:r>
          </w:p>
        </w:tc>
      </w:tr>
      <w:tr w:rsidR="00C238DE" w:rsidTr="0090435F">
        <w:trPr>
          <w:cantSplit/>
          <w:jc w:val="center"/>
        </w:trPr>
        <w:tc>
          <w:tcPr>
            <w:tcW w:w="489" w:type="dxa"/>
            <w:vMerge/>
            <w:tcBorders>
              <w:left w:val="single" w:sz="4" w:space="0" w:color="auto"/>
              <w:right w:val="single" w:sz="4" w:space="0" w:color="auto"/>
            </w:tcBorders>
            <w:vAlign w:val="center"/>
          </w:tcPr>
          <w:p w:rsidR="00C238DE" w:rsidRDefault="00C238DE" w:rsidP="0090435F">
            <w:pPr>
              <w:spacing w:line="27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rPr>
            </w:pPr>
            <w:r>
              <w:rPr>
                <w:rFonts w:ascii="宋体" w:hAnsi="宋体" w:hint="eastAsia"/>
                <w:color w:val="000000"/>
              </w:rPr>
              <w:t xml:space="preserve">聚合危害：不聚合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color w:val="000000"/>
                <w:szCs w:val="18"/>
              </w:rPr>
            </w:pPr>
            <w:r>
              <w:rPr>
                <w:rFonts w:ascii="宋体" w:hAnsi="宋体" w:hint="eastAsia"/>
                <w:color w:val="000000"/>
                <w:szCs w:val="18"/>
              </w:rPr>
              <w:t>燃烧分解产物:一氧化碳、二氧化碳、氮氧化物。</w:t>
            </w:r>
          </w:p>
        </w:tc>
      </w:tr>
      <w:tr w:rsidR="00C238DE" w:rsidTr="0090435F">
        <w:trPr>
          <w:cantSplit/>
          <w:jc w:val="center"/>
        </w:trPr>
        <w:tc>
          <w:tcPr>
            <w:tcW w:w="489" w:type="dxa"/>
            <w:vMerge/>
            <w:tcBorders>
              <w:left w:val="single" w:sz="4" w:space="0" w:color="auto"/>
              <w:right w:val="single" w:sz="4" w:space="0" w:color="auto"/>
            </w:tcBorders>
            <w:vAlign w:val="center"/>
          </w:tcPr>
          <w:p w:rsidR="00C238DE" w:rsidRDefault="00C238DE" w:rsidP="0090435F">
            <w:pPr>
              <w:spacing w:line="278" w:lineRule="exact"/>
              <w:rPr>
                <w:rFonts w:ascii="宋体" w:hAnsi="宋体"/>
              </w:rPr>
            </w:pPr>
          </w:p>
        </w:tc>
        <w:tc>
          <w:tcPr>
            <w:tcW w:w="3924" w:type="dxa"/>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r>
              <w:rPr>
                <w:rFonts w:ascii="宋体" w:hAnsi="宋体" w:hint="eastAsia"/>
              </w:rPr>
              <w:t>避免接触的条件：</w:t>
            </w:r>
            <w:r>
              <w:rPr>
                <w:rFonts w:ascii="宋体" w:hAnsi="宋体" w:hint="eastAsia"/>
                <w:szCs w:val="18"/>
              </w:rPr>
              <w:t>受热、光照可分解。。</w:t>
            </w:r>
            <w:r>
              <w:rPr>
                <w:rFonts w:ascii="宋体" w:hAnsi="宋体" w:hint="eastAsia"/>
              </w:rPr>
              <w:t xml:space="preserve"> </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szCs w:val="18"/>
              </w:rPr>
            </w:pPr>
            <w:r>
              <w:rPr>
                <w:rFonts w:ascii="宋体" w:hAnsi="宋体" w:hint="eastAsia"/>
                <w:szCs w:val="18"/>
              </w:rPr>
              <w:t>禁忌物：强氧化剂。</w:t>
            </w:r>
          </w:p>
        </w:tc>
      </w:tr>
      <w:tr w:rsidR="00C238DE" w:rsidTr="0090435F">
        <w:trPr>
          <w:cantSplit/>
          <w:jc w:val="center"/>
        </w:trPr>
        <w:tc>
          <w:tcPr>
            <w:tcW w:w="489" w:type="dxa"/>
            <w:vMerge/>
            <w:tcBorders>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szCs w:val="18"/>
              </w:rPr>
            </w:pPr>
            <w:r>
              <w:rPr>
                <w:rFonts w:ascii="宋体" w:hAnsi="宋体" w:hint="eastAsia"/>
                <w:szCs w:val="18"/>
              </w:rPr>
              <w:t>危险特性: 其蒸气与空气可形成爆炸性混合物，遇明火、高热极易燃烧爆炸。受热或光照易发生分解, 分解时有爆炸危险。</w:t>
            </w:r>
          </w:p>
        </w:tc>
      </w:tr>
      <w:tr w:rsidR="00C238DE" w:rsidTr="0090435F">
        <w:trPr>
          <w:cantSplit/>
          <w:jc w:val="center"/>
        </w:trPr>
        <w:tc>
          <w:tcPr>
            <w:tcW w:w="489" w:type="dxa"/>
            <w:vMerge/>
            <w:tcBorders>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szCs w:val="18"/>
              </w:rPr>
            </w:pPr>
            <w:r>
              <w:rPr>
                <w:rFonts w:ascii="宋体" w:hAnsi="宋体" w:hint="eastAsia"/>
                <w:szCs w:val="18"/>
              </w:rPr>
              <w:t>灭火方法：尽可能将容器从火场移至空旷处。处在火场中的容器若已变色或从安全泄压装置中产生声音，必须马上撤离。灭火剂：1211灭火剂、干粉、砂土。禁止用水和泡沫灭火。</w:t>
            </w:r>
          </w:p>
        </w:tc>
      </w:tr>
      <w:tr w:rsidR="00C238DE"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r>
              <w:rPr>
                <w:rFonts w:ascii="宋体" w:hAnsi="宋体" w:hint="eastAsia"/>
              </w:rPr>
              <w:t>毒</w:t>
            </w:r>
          </w:p>
          <w:p w:rsidR="00C238DE" w:rsidRDefault="00C238DE" w:rsidP="0090435F">
            <w:pPr>
              <w:spacing w:line="278"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p w:rsidR="00C238DE" w:rsidRDefault="00C238DE" w:rsidP="0090435F">
            <w:pPr>
              <w:spacing w:line="27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491mg/m3，4小时(大鼠吸入)</w:t>
            </w:r>
          </w:p>
        </w:tc>
      </w:tr>
      <w:tr w:rsidR="00C238DE"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C238DE" w:rsidRDefault="00C238DE" w:rsidP="0090435F">
            <w:pPr>
              <w:spacing w:line="278"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r>
              <w:rPr>
                <w:rFonts w:ascii="宋体" w:hAnsi="宋体" w:hint="eastAsia"/>
              </w:rPr>
              <w:t>侵入途经：吸入、食入、经皮吸收。</w:t>
            </w:r>
          </w:p>
        </w:tc>
      </w:tr>
      <w:tr w:rsidR="00C238DE"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r>
              <w:rPr>
                <w:rFonts w:ascii="宋体" w:hAnsi="宋体" w:hint="eastAsia"/>
                <w:szCs w:val="18"/>
              </w:rPr>
              <w:t>本品主要使血管扩张，引起血压降低及心动过速。大剂量可引起高铁血红蛋白血症。人急性中毒的特点为头痛、心动过速、高铁血红蛋白血症，可致死。 </w:t>
            </w:r>
          </w:p>
        </w:tc>
      </w:tr>
      <w:tr w:rsidR="00C238DE" w:rsidTr="0090435F">
        <w:trPr>
          <w:cantSplit/>
          <w:jc w:val="center"/>
        </w:trPr>
        <w:tc>
          <w:tcPr>
            <w:tcW w:w="489" w:type="dxa"/>
            <w:tcBorders>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r>
              <w:rPr>
                <w:rFonts w:ascii="宋体" w:hAnsi="宋体" w:hint="eastAsia"/>
              </w:rPr>
              <w:t>急</w:t>
            </w:r>
          </w:p>
          <w:p w:rsidR="00C238DE" w:rsidRDefault="00C238DE" w:rsidP="0090435F">
            <w:pPr>
              <w:spacing w:line="278"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 xml:space="preserve">   ※食入: 饮足量温水，催吐。就医。</w:t>
            </w:r>
          </w:p>
        </w:tc>
      </w:tr>
      <w:tr w:rsidR="00C238DE"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r>
              <w:rPr>
                <w:rFonts w:ascii="宋体" w:hAnsi="宋体" w:hint="eastAsia"/>
              </w:rPr>
              <w:t>防</w:t>
            </w:r>
          </w:p>
          <w:p w:rsidR="00C238DE" w:rsidRDefault="00C238DE" w:rsidP="0090435F">
            <w:pPr>
              <w:spacing w:line="278"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r>
              <w:rPr>
                <w:rFonts w:ascii="宋体" w:hAnsi="宋体" w:hint="eastAsia"/>
              </w:rPr>
              <w:t>工</w:t>
            </w:r>
            <w:r>
              <w:rPr>
                <w:rFonts w:ascii="宋体" w:hAnsi="宋体" w:hint="eastAsia"/>
                <w:szCs w:val="18"/>
              </w:rPr>
              <w:t>程控制：严加密闭，提供充分的局部排风。    ※呼吸系统防护：空气中浓度超标时，应该佩戴过滤式防毒面具（全面罩）或自给式呼吸器。紧急事态抢救或撤离时，建议佩戴空气呼吸器。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※其它：工作现场严禁吸烟。注意个人清洁卫生。  </w:t>
            </w:r>
          </w:p>
        </w:tc>
      </w:tr>
      <w:tr w:rsidR="00C238DE"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rPr>
            </w:pPr>
            <w:r>
              <w:rPr>
                <w:rFonts w:ascii="宋体" w:hAnsi="宋体" w:hint="eastAsia"/>
              </w:rPr>
              <w:t>泄</w:t>
            </w:r>
          </w:p>
          <w:p w:rsidR="00C238DE" w:rsidRDefault="00C238DE" w:rsidP="0090435F">
            <w:pPr>
              <w:spacing w:line="278" w:lineRule="exact"/>
              <w:rPr>
                <w:rFonts w:ascii="宋体" w:hAnsi="宋体"/>
              </w:rPr>
            </w:pPr>
            <w:r>
              <w:rPr>
                <w:rFonts w:ascii="宋体" w:hAnsi="宋体" w:hint="eastAsia"/>
              </w:rPr>
              <w:t>漏</w:t>
            </w:r>
          </w:p>
          <w:p w:rsidR="00C238DE" w:rsidRDefault="00C238DE" w:rsidP="0090435F">
            <w:pPr>
              <w:spacing w:line="278" w:lineRule="exact"/>
              <w:rPr>
                <w:rFonts w:ascii="宋体" w:hAnsi="宋体"/>
              </w:rPr>
            </w:pPr>
            <w:r>
              <w:rPr>
                <w:rFonts w:ascii="宋体" w:hAnsi="宋体" w:hint="eastAsia"/>
              </w:rPr>
              <w:t>处</w:t>
            </w:r>
          </w:p>
          <w:p w:rsidR="00C238DE" w:rsidRDefault="00C238DE" w:rsidP="0090435F">
            <w:pPr>
              <w:spacing w:line="278"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238DE" w:rsidRDefault="00C238DE" w:rsidP="0090435F">
            <w:pPr>
              <w:spacing w:line="278"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大量水冲洗，洗水稀释后放入废水系统。大量泄漏：构筑围堤或挖坑收容。用泡沫覆盖，降低蒸气灾害。用防爆泵转移至槽车或专用收集器内，回收或运至废物处理场所处置。</w:t>
            </w:r>
          </w:p>
        </w:tc>
      </w:tr>
      <w:tr w:rsidR="00C238DE" w:rsidTr="0090435F">
        <w:trPr>
          <w:cantSplit/>
          <w:jc w:val="center"/>
        </w:trPr>
        <w:tc>
          <w:tcPr>
            <w:tcW w:w="489" w:type="dxa"/>
            <w:tcBorders>
              <w:top w:val="single" w:sz="4" w:space="0" w:color="auto"/>
              <w:left w:val="single" w:sz="4" w:space="0" w:color="auto"/>
              <w:right w:val="single" w:sz="4" w:space="0" w:color="auto"/>
            </w:tcBorders>
            <w:vAlign w:val="center"/>
          </w:tcPr>
          <w:p w:rsidR="00C238DE" w:rsidRDefault="00C238DE" w:rsidP="0090435F">
            <w:pPr>
              <w:spacing w:line="278" w:lineRule="exact"/>
              <w:rPr>
                <w:rFonts w:ascii="宋体" w:hAnsi="宋体"/>
              </w:rPr>
            </w:pPr>
            <w:r>
              <w:rPr>
                <w:rFonts w:ascii="宋体" w:hAnsi="宋体" w:hint="eastAsia"/>
              </w:rPr>
              <w:t>储</w:t>
            </w:r>
          </w:p>
          <w:p w:rsidR="00C238DE" w:rsidRDefault="00C238DE" w:rsidP="0090435F">
            <w:pPr>
              <w:spacing w:line="278"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C238DE" w:rsidRDefault="00C238DE" w:rsidP="0090435F">
            <w:pPr>
              <w:spacing w:line="278" w:lineRule="exact"/>
              <w:rPr>
                <w:rFonts w:ascii="宋体" w:hAnsi="宋体"/>
                <w:szCs w:val="18"/>
              </w:rPr>
            </w:pPr>
            <w:r>
              <w:rPr>
                <w:rFonts w:ascii="宋体" w:hAnsi="宋体" w:hint="eastAsia"/>
                <w:szCs w:val="18"/>
              </w:rPr>
              <w:t>储存于阴凉、通风的库房。远离火种、热源。避光保存。库温不宜超过30℃。保持容器密封。应与氧化剂分开存放，切忌混储。采用防爆型照明、通风设施。禁止使用易产生火花的机械设备和工具。储区应备有泄漏应急处理设备和合适的收容材料。</w:t>
            </w:r>
          </w:p>
          <w:p w:rsidR="00C238DE" w:rsidRDefault="00C238DE" w:rsidP="0090435F">
            <w:pPr>
              <w:spacing w:line="278"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8DE"/>
    <w:rsid w:val="00C238DE"/>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47752-D75C-4261-9B97-C019D0F4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C238DE"/>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238DE"/>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Company>zyhq</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